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bookmarkEnd w:id="0"/>
    <w:p w:rsidR="00034348" w:rsidRPr="00C47DD8" w:rsidRDefault="00F80D3E">
      <w:pPr>
        <w:pStyle w:val="1"/>
        <w:rPr>
          <w:color w:val="auto"/>
        </w:rPr>
      </w:pPr>
      <w:r w:rsidRPr="00C47DD8">
        <w:rPr>
          <w:color w:val="auto"/>
        </w:rPr>
        <w:fldChar w:fldCharType="begin"/>
      </w:r>
      <w:r w:rsidR="00034348" w:rsidRPr="00C47DD8">
        <w:rPr>
          <w:color w:val="auto"/>
        </w:rPr>
        <w:instrText>HYPERLINK "garantF1://71984212.0"</w:instrText>
      </w:r>
      <w:r w:rsidRPr="00C47DD8">
        <w:rPr>
          <w:color w:val="auto"/>
        </w:rPr>
        <w:fldChar w:fldCharType="separate"/>
      </w:r>
      <w:r w:rsidR="00034348" w:rsidRPr="00C47DD8">
        <w:rPr>
          <w:rStyle w:val="a4"/>
          <w:rFonts w:cs="Arial"/>
          <w:bCs w:val="0"/>
          <w:color w:val="auto"/>
        </w:rPr>
        <w:t>Распоряжение Правительства РФ от 18 октября 2018 г. N 2258-р</w:t>
      </w:r>
      <w:r w:rsidRPr="00C47DD8">
        <w:rPr>
          <w:color w:val="auto"/>
        </w:rPr>
        <w:fldChar w:fldCharType="end"/>
      </w:r>
    </w:p>
    <w:p w:rsidR="00034348" w:rsidRPr="00C47DD8" w:rsidRDefault="00034348"/>
    <w:p w:rsidR="00034348" w:rsidRPr="00C47DD8" w:rsidRDefault="00034348">
      <w:bookmarkStart w:id="1" w:name="sub_1"/>
      <w:r w:rsidRPr="00C47DD8">
        <w:t xml:space="preserve">1. В целях реализации </w:t>
      </w:r>
      <w:hyperlink r:id="rId5" w:history="1">
        <w:r w:rsidRPr="00C47DD8">
          <w:rPr>
            <w:rStyle w:val="a4"/>
            <w:rFonts w:cs="Arial"/>
            <w:color w:val="auto"/>
          </w:rPr>
          <w:t>Национального плана</w:t>
        </w:r>
      </w:hyperlink>
      <w:r w:rsidRPr="00C47DD8">
        <w:t xml:space="preserve"> развития конкуренции в Российской Федерации на 2018 - 2020 годы, утвержденного </w:t>
      </w:r>
      <w:hyperlink r:id="rId6" w:history="1">
        <w:r w:rsidRPr="00C47DD8">
          <w:rPr>
            <w:rStyle w:val="a4"/>
            <w:rFonts w:cs="Arial"/>
            <w:color w:val="auto"/>
          </w:rPr>
          <w:t>Указом</w:t>
        </w:r>
      </w:hyperlink>
      <w:r w:rsidRPr="00C47DD8">
        <w:t xml:space="preserve"> Президента Российской Федерации от 21 декабря 2017 г. N 618 "Об основных направлениях государственной политики по развитию конкуренции", утвердить прилагаемые </w:t>
      </w:r>
      <w:hyperlink w:anchor="sub_1000" w:history="1">
        <w:r w:rsidRPr="00C47DD8">
          <w:rPr>
            <w:rStyle w:val="a4"/>
            <w:rFonts w:cs="Arial"/>
            <w:color w:val="auto"/>
          </w:rPr>
          <w:t>методические рекомендации</w:t>
        </w:r>
      </w:hyperlink>
      <w:r w:rsidRPr="00C47DD8"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</w:p>
    <w:p w:rsidR="00034348" w:rsidRPr="00C47DD8" w:rsidRDefault="00034348">
      <w:bookmarkStart w:id="2" w:name="sub_2"/>
      <w:bookmarkEnd w:id="1"/>
      <w:r w:rsidRPr="00C47DD8"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sub_1000" w:history="1">
        <w:r w:rsidRPr="00C47DD8">
          <w:rPr>
            <w:rStyle w:val="a4"/>
            <w:rFonts w:cs="Arial"/>
            <w:color w:val="auto"/>
          </w:rPr>
          <w:t>методическими рекомендациями</w:t>
        </w:r>
      </w:hyperlink>
      <w:r w:rsidRPr="00C47DD8">
        <w:t>, утвержденными настоящим распоряжением.</w:t>
      </w:r>
    </w:p>
    <w:p w:rsidR="00034348" w:rsidRPr="00C47DD8" w:rsidRDefault="00034348">
      <w:bookmarkStart w:id="3" w:name="sub_3"/>
      <w:bookmarkEnd w:id="2"/>
      <w:r w:rsidRPr="00C47DD8">
        <w:t>3. 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</w:p>
    <w:bookmarkEnd w:id="3"/>
    <w:p w:rsidR="00034348" w:rsidRPr="00C47DD8" w:rsidRDefault="00034348"/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034348" w:rsidRPr="00C47DD8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Председатель Правительства</w:t>
            </w:r>
            <w:r w:rsidRPr="00C47DD8">
              <w:br/>
              <w:t>Российской Федерации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7"/>
              <w:jc w:val="right"/>
            </w:pPr>
            <w:r w:rsidRPr="00C47DD8">
              <w:t>Д. Медведев</w:t>
            </w:r>
          </w:p>
        </w:tc>
      </w:tr>
    </w:tbl>
    <w:p w:rsidR="00034348" w:rsidRPr="00C47DD8" w:rsidRDefault="00034348"/>
    <w:p w:rsidR="00034348" w:rsidRPr="00C47DD8" w:rsidRDefault="00034348">
      <w:pPr>
        <w:ind w:firstLine="0"/>
        <w:jc w:val="right"/>
      </w:pPr>
      <w:bookmarkStart w:id="4" w:name="sub_1000"/>
      <w:r w:rsidRPr="00C47DD8">
        <w:rPr>
          <w:rStyle w:val="a3"/>
          <w:bCs/>
          <w:color w:val="auto"/>
        </w:rPr>
        <w:t>УТВЕРЖДЕНЫ</w:t>
      </w:r>
      <w:r w:rsidRPr="00C47DD8">
        <w:rPr>
          <w:rStyle w:val="a3"/>
          <w:bCs/>
          <w:color w:val="auto"/>
        </w:rPr>
        <w:br/>
      </w:r>
      <w:hyperlink w:anchor="sub_0" w:history="1">
        <w:r w:rsidRPr="00C47DD8">
          <w:rPr>
            <w:rStyle w:val="a4"/>
            <w:rFonts w:cs="Arial"/>
            <w:color w:val="auto"/>
          </w:rPr>
          <w:t>распоряжением</w:t>
        </w:r>
      </w:hyperlink>
      <w:r w:rsidRPr="00C47DD8">
        <w:rPr>
          <w:rStyle w:val="a3"/>
          <w:bCs/>
          <w:color w:val="auto"/>
        </w:rPr>
        <w:t xml:space="preserve"> Правительства</w:t>
      </w:r>
      <w:r w:rsidRPr="00C47DD8">
        <w:rPr>
          <w:rStyle w:val="a3"/>
          <w:bCs/>
          <w:color w:val="auto"/>
        </w:rPr>
        <w:br/>
        <w:t>Российской Федерации</w:t>
      </w:r>
      <w:r w:rsidRPr="00C47DD8">
        <w:rPr>
          <w:rStyle w:val="a3"/>
          <w:bCs/>
          <w:color w:val="auto"/>
        </w:rPr>
        <w:br/>
        <w:t>от 18 октября 2018 г. N 2258-р</w:t>
      </w:r>
    </w:p>
    <w:bookmarkEnd w:id="4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r w:rsidRPr="00C47DD8">
        <w:rPr>
          <w:color w:val="auto"/>
        </w:rPr>
        <w:t>Методические рекомендации</w:t>
      </w:r>
      <w:r w:rsidRPr="00C47DD8">
        <w:rPr>
          <w:color w:val="auto"/>
        </w:rPr>
        <w:br/>
        <w:t>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</w:t>
      </w:r>
    </w:p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5" w:name="sub_1100"/>
      <w:r w:rsidRPr="00C47DD8">
        <w:rPr>
          <w:color w:val="auto"/>
        </w:rPr>
        <w:t>I. Общие положения</w:t>
      </w:r>
    </w:p>
    <w:bookmarkEnd w:id="5"/>
    <w:p w:rsidR="00034348" w:rsidRPr="00C47DD8" w:rsidRDefault="00034348"/>
    <w:p w:rsidR="00034348" w:rsidRPr="00C47DD8" w:rsidRDefault="00034348">
      <w:bookmarkStart w:id="6" w:name="sub_1001"/>
      <w:r w:rsidRPr="00C47DD8">
        <w:t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антимонопольный комплаенс).</w:t>
      </w:r>
    </w:p>
    <w:p w:rsidR="00034348" w:rsidRPr="00C47DD8" w:rsidRDefault="00034348">
      <w:bookmarkStart w:id="7" w:name="sub_1002"/>
      <w:bookmarkEnd w:id="6"/>
      <w:r w:rsidRPr="00C47DD8">
        <w:t>2. Термины, используемые в настоящих методических рекомендациях, означают следующее:</w:t>
      </w:r>
    </w:p>
    <w:bookmarkEnd w:id="7"/>
    <w:p w:rsidR="00034348" w:rsidRPr="00C47DD8" w:rsidRDefault="00034348">
      <w:r w:rsidRPr="00C47DD8">
        <w:rPr>
          <w:rStyle w:val="a3"/>
          <w:bCs/>
          <w:color w:val="auto"/>
        </w:rPr>
        <w:t>"антимонопольное законодательство"</w:t>
      </w:r>
      <w:r w:rsidRPr="00C47DD8">
        <w:t xml:space="preserve"> - законодательство, основывающееся на </w:t>
      </w:r>
      <w:hyperlink r:id="rId7" w:history="1">
        <w:r w:rsidRPr="00C47DD8">
          <w:rPr>
            <w:rStyle w:val="a4"/>
            <w:rFonts w:cs="Arial"/>
            <w:color w:val="auto"/>
          </w:rPr>
          <w:t>Конституции</w:t>
        </w:r>
      </w:hyperlink>
      <w:r w:rsidRPr="00C47DD8">
        <w:t xml:space="preserve"> Российской Федерации, </w:t>
      </w:r>
      <w:hyperlink r:id="rId8" w:history="1">
        <w:r w:rsidRPr="00C47DD8">
          <w:rPr>
            <w:rStyle w:val="a4"/>
            <w:rFonts w:cs="Arial"/>
            <w:color w:val="auto"/>
          </w:rPr>
          <w:t>Гражданском кодексе</w:t>
        </w:r>
      </w:hyperlink>
      <w:r w:rsidRPr="00C47DD8">
        <w:t xml:space="preserve"> Российской Федерации и состоящее из </w:t>
      </w:r>
      <w:hyperlink r:id="rId9" w:history="1">
        <w:r w:rsidRPr="00C47DD8">
          <w:rPr>
            <w:rStyle w:val="a4"/>
            <w:rFonts w:cs="Arial"/>
            <w:color w:val="auto"/>
          </w:rPr>
          <w:t>Федерального закона</w:t>
        </w:r>
      </w:hyperlink>
      <w:r w:rsidRPr="00C47DD8"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</w:t>
      </w:r>
      <w:r w:rsidRPr="00C47DD8">
        <w:lastRenderedPageBreak/>
        <w:t>государственной власти субъектов Российской Федерации, органы местного самоуправления, иные осуществляющие функции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034348" w:rsidRPr="00C47DD8" w:rsidRDefault="00034348">
      <w:r w:rsidRPr="00C47DD8">
        <w:rPr>
          <w:rStyle w:val="a3"/>
          <w:bCs/>
          <w:color w:val="auto"/>
        </w:rPr>
        <w:t>"антимонопольный орган"</w:t>
      </w:r>
      <w:r w:rsidRPr="00C47DD8">
        <w:t xml:space="preserve"> - федеральный антимонопольный орган и его территориальные органы;</w:t>
      </w:r>
    </w:p>
    <w:p w:rsidR="00034348" w:rsidRPr="00C47DD8" w:rsidRDefault="00034348">
      <w:r w:rsidRPr="00C47DD8">
        <w:rPr>
          <w:rStyle w:val="a3"/>
          <w:bCs/>
          <w:color w:val="auto"/>
        </w:rPr>
        <w:t>"доклад об антимонопольном комплаенсе"</w:t>
      </w:r>
      <w:r w:rsidRPr="00C47DD8">
        <w:t xml:space="preserve"> - документ, содержащий информацию об организации в федеральном органе исполнительной власти антимонопольного комплаенса и о его функционировании;</w:t>
      </w:r>
    </w:p>
    <w:p w:rsidR="00034348" w:rsidRPr="00C47DD8" w:rsidRDefault="00034348">
      <w:r w:rsidRPr="00C47DD8">
        <w:rPr>
          <w:rStyle w:val="a3"/>
          <w:bCs/>
          <w:color w:val="auto"/>
        </w:rPr>
        <w:t>"коллегиальный орган"</w:t>
      </w:r>
      <w:r w:rsidRPr="00C47DD8">
        <w:t xml:space="preserve"> - совещательный орган, осуществляющий оценку эффективности функционирования антимонопольного комплаенса;</w:t>
      </w:r>
    </w:p>
    <w:p w:rsidR="00034348" w:rsidRPr="00C47DD8" w:rsidRDefault="00034348">
      <w:r w:rsidRPr="00C47DD8">
        <w:rPr>
          <w:rStyle w:val="a3"/>
          <w:bCs/>
          <w:color w:val="auto"/>
        </w:rPr>
        <w:t>"нарушение антимонопольного законодательства</w:t>
      </w:r>
      <w:r w:rsidRPr="00C47DD8">
        <w:t>" - недопущение, ограничение, устранение конкуренции федеральным органом исполнительной власти;</w:t>
      </w:r>
    </w:p>
    <w:p w:rsidR="00034348" w:rsidRPr="00C47DD8" w:rsidRDefault="00034348">
      <w:r w:rsidRPr="00C47DD8">
        <w:rPr>
          <w:rStyle w:val="a3"/>
          <w:bCs/>
          <w:color w:val="auto"/>
        </w:rPr>
        <w:t>"риски нарушения антимонопольного законодательства"</w:t>
      </w:r>
      <w:r w:rsidRPr="00C47DD8">
        <w:t xml:space="preserve">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034348" w:rsidRPr="00C47DD8" w:rsidRDefault="00034348">
      <w:r w:rsidRPr="00C47DD8">
        <w:rPr>
          <w:rStyle w:val="a3"/>
          <w:bCs/>
          <w:color w:val="auto"/>
        </w:rPr>
        <w:t>"уполномоченное подразделение"</w:t>
      </w:r>
      <w:r w:rsidRPr="00C47DD8">
        <w:t xml:space="preserve"> - подразделение федерального органа исполнительной власти, осуществляющее внедрение антимонопольного комплаенса и контроль за его исполнением в федеральном органе исполнительной власти.</w:t>
      </w:r>
    </w:p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8" w:name="sub_1200"/>
      <w:r w:rsidRPr="00C47DD8">
        <w:rPr>
          <w:color w:val="auto"/>
        </w:rPr>
        <w:t>II. Цели, задачи и принципы антимонопольного комплаенса</w:t>
      </w:r>
    </w:p>
    <w:bookmarkEnd w:id="8"/>
    <w:p w:rsidR="00034348" w:rsidRPr="00C47DD8" w:rsidRDefault="00034348"/>
    <w:p w:rsidR="00034348" w:rsidRPr="00C47DD8" w:rsidRDefault="00034348">
      <w:bookmarkStart w:id="9" w:name="sub_1003"/>
      <w:r w:rsidRPr="00C47DD8">
        <w:t>3. Цели антимонопольного комплаенса:</w:t>
      </w:r>
    </w:p>
    <w:p w:rsidR="00034348" w:rsidRPr="00C47DD8" w:rsidRDefault="00034348">
      <w:bookmarkStart w:id="10" w:name="sub_10031"/>
      <w:bookmarkEnd w:id="9"/>
      <w:r w:rsidRPr="00C47DD8"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034348" w:rsidRPr="00C47DD8" w:rsidRDefault="00034348">
      <w:bookmarkStart w:id="11" w:name="sub_10032"/>
      <w:bookmarkEnd w:id="10"/>
      <w:r w:rsidRPr="00C47DD8"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034348" w:rsidRPr="00C47DD8" w:rsidRDefault="00034348">
      <w:bookmarkStart w:id="12" w:name="sub_1004"/>
      <w:bookmarkEnd w:id="11"/>
      <w:r w:rsidRPr="00C47DD8">
        <w:t>4. Задачи антимонопольного комплаенса:</w:t>
      </w:r>
    </w:p>
    <w:p w:rsidR="00034348" w:rsidRPr="00C47DD8" w:rsidRDefault="00034348">
      <w:bookmarkStart w:id="13" w:name="sub_1041"/>
      <w:bookmarkEnd w:id="12"/>
      <w:r w:rsidRPr="00C47DD8">
        <w:t>а) выявление рисков нарушения антимонопольного законодательства;</w:t>
      </w:r>
    </w:p>
    <w:p w:rsidR="00034348" w:rsidRPr="00C47DD8" w:rsidRDefault="00034348">
      <w:bookmarkStart w:id="14" w:name="sub_1042"/>
      <w:bookmarkEnd w:id="13"/>
      <w:r w:rsidRPr="00C47DD8">
        <w:t>б) управление рисками нарушения антимонопольного законодательства;</w:t>
      </w:r>
    </w:p>
    <w:p w:rsidR="00034348" w:rsidRPr="00C47DD8" w:rsidRDefault="00034348">
      <w:bookmarkStart w:id="15" w:name="sub_1043"/>
      <w:bookmarkEnd w:id="14"/>
      <w:r w:rsidRPr="00C47DD8">
        <w:t>в) контроль за соответствием деятельности федерального органа исполнительной власти требованиям антимонопольного законодательства;</w:t>
      </w:r>
    </w:p>
    <w:p w:rsidR="00034348" w:rsidRPr="00C47DD8" w:rsidRDefault="00034348">
      <w:bookmarkStart w:id="16" w:name="sub_1044"/>
      <w:bookmarkEnd w:id="15"/>
      <w:r w:rsidRPr="00C47DD8">
        <w:t>г) оценка эффективности функционирования в федеральном органе исполнительной власти антимонопольного комплаенса.</w:t>
      </w:r>
    </w:p>
    <w:p w:rsidR="00034348" w:rsidRPr="00C47DD8" w:rsidRDefault="00034348">
      <w:bookmarkStart w:id="17" w:name="sub_1005"/>
      <w:bookmarkEnd w:id="16"/>
      <w:r w:rsidRPr="00C47DD8">
        <w:t>5. При организации антимонопольного комплаенса федеральному органу исполнительной власти рекомендуется руководствоваться следующими принципами:</w:t>
      </w:r>
    </w:p>
    <w:p w:rsidR="00034348" w:rsidRPr="00C47DD8" w:rsidRDefault="00034348">
      <w:bookmarkStart w:id="18" w:name="sub_1051"/>
      <w:bookmarkEnd w:id="17"/>
      <w:r w:rsidRPr="00C47DD8">
        <w:t>а) заинтересованность руководства федерального органа исполнительной власти в эффективности функционирования антимонопольного комплаенса;</w:t>
      </w:r>
    </w:p>
    <w:p w:rsidR="00034348" w:rsidRPr="00C47DD8" w:rsidRDefault="00034348">
      <w:bookmarkStart w:id="19" w:name="sub_1052"/>
      <w:bookmarkEnd w:id="18"/>
      <w:r w:rsidRPr="00C47DD8">
        <w:t>б) регулярность оценки рисков нарушения антимонопольного законодательства;</w:t>
      </w:r>
    </w:p>
    <w:p w:rsidR="00034348" w:rsidRPr="00C47DD8" w:rsidRDefault="00034348">
      <w:bookmarkStart w:id="20" w:name="sub_1053"/>
      <w:bookmarkEnd w:id="19"/>
      <w:r w:rsidRPr="00C47DD8">
        <w:t>в) обеспечение информационной открытости функционирования в федеральном органе исполнительной власти антимонопольного комплаенса;</w:t>
      </w:r>
    </w:p>
    <w:p w:rsidR="00034348" w:rsidRPr="00C47DD8" w:rsidRDefault="00034348">
      <w:bookmarkStart w:id="21" w:name="sub_1054"/>
      <w:bookmarkEnd w:id="20"/>
      <w:r w:rsidRPr="00C47DD8">
        <w:t>г) непрерывность функционирования антимонопольного комплаенса в федеральном органе исполнительной власти;</w:t>
      </w:r>
    </w:p>
    <w:p w:rsidR="00034348" w:rsidRPr="00C47DD8" w:rsidRDefault="00034348">
      <w:bookmarkStart w:id="22" w:name="sub_1055"/>
      <w:bookmarkEnd w:id="21"/>
      <w:r w:rsidRPr="00C47DD8">
        <w:t>д) совершенствование антимонопольного комплаенса.</w:t>
      </w:r>
    </w:p>
    <w:bookmarkEnd w:id="22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23" w:name="sub_1300"/>
      <w:r w:rsidRPr="00C47DD8">
        <w:rPr>
          <w:color w:val="auto"/>
        </w:rPr>
        <w:t>III. Акт об антимонопольном комплаенсе</w:t>
      </w:r>
    </w:p>
    <w:bookmarkEnd w:id="23"/>
    <w:p w:rsidR="00034348" w:rsidRPr="00C47DD8" w:rsidRDefault="00034348"/>
    <w:p w:rsidR="00034348" w:rsidRPr="00C47DD8" w:rsidRDefault="00034348">
      <w:bookmarkStart w:id="24" w:name="sub_1006"/>
      <w:r w:rsidRPr="00C47DD8">
        <w:lastRenderedPageBreak/>
        <w:t>6. Для организации антимонопольного комплаенса федеральным органом исполнительной власти должен быть принят акт, в котором содержатся:</w:t>
      </w:r>
    </w:p>
    <w:p w:rsidR="00034348" w:rsidRPr="00C47DD8" w:rsidRDefault="00034348">
      <w:bookmarkStart w:id="25" w:name="sub_1061"/>
      <w:bookmarkEnd w:id="24"/>
      <w:r w:rsidRPr="00C47DD8">
        <w:t>а) сведения об уполномоченном подразделении (должностном лице), ответственном за функционирование антимонопольного комплаенса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034348" w:rsidRPr="00C47DD8" w:rsidRDefault="00034348">
      <w:bookmarkStart w:id="26" w:name="sub_1062"/>
      <w:bookmarkEnd w:id="25"/>
      <w:r w:rsidRPr="00C47DD8"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034348" w:rsidRPr="00C47DD8" w:rsidRDefault="00034348">
      <w:bookmarkStart w:id="27" w:name="sub_1063"/>
      <w:bookmarkEnd w:id="26"/>
      <w:r w:rsidRPr="00C47DD8">
        <w:t>в) порядок ознакомления служащих федерального органа исполнительной власти с актом об организации антимонопольного комплаенса;</w:t>
      </w:r>
    </w:p>
    <w:p w:rsidR="00034348" w:rsidRPr="00C47DD8" w:rsidRDefault="00034348">
      <w:bookmarkStart w:id="28" w:name="sub_1064"/>
      <w:bookmarkEnd w:id="27"/>
      <w:r w:rsidRPr="00C47DD8">
        <w:t>г) меры, направленные на осуществление федеральным органом исполнительной власти контроля за функционированием антимонопольного комплаенса;</w:t>
      </w:r>
    </w:p>
    <w:p w:rsidR="00034348" w:rsidRPr="00C47DD8" w:rsidRDefault="00034348">
      <w:bookmarkStart w:id="29" w:name="sub_1065"/>
      <w:bookmarkEnd w:id="28"/>
      <w:r w:rsidRPr="00C47DD8">
        <w:t>д) ключевые показатели и порядок оценки эффективности функционирования антимонопольного комплаенса в федеральном органе исполнительной власти.</w:t>
      </w:r>
    </w:p>
    <w:p w:rsidR="00034348" w:rsidRPr="00C47DD8" w:rsidRDefault="00034348">
      <w:bookmarkStart w:id="30" w:name="sub_1007"/>
      <w:bookmarkEnd w:id="29"/>
      <w:r w:rsidRPr="00C47DD8">
        <w:t>7. Акт об антимонопольном комплаенсе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bookmarkEnd w:id="30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31" w:name="sub_1400"/>
      <w:r w:rsidRPr="00C47DD8">
        <w:rPr>
          <w:color w:val="auto"/>
        </w:rPr>
        <w:t>IV. Уполномоченное подразделение (должностное лицо) и коллегиальный орган</w:t>
      </w:r>
    </w:p>
    <w:bookmarkEnd w:id="31"/>
    <w:p w:rsidR="00034348" w:rsidRPr="00C47DD8" w:rsidRDefault="00034348"/>
    <w:p w:rsidR="00034348" w:rsidRPr="00C47DD8" w:rsidRDefault="00034348">
      <w:bookmarkStart w:id="32" w:name="sub_1008"/>
      <w:r w:rsidRPr="00C47DD8">
        <w:t>8. Общий контроль за организацией и функционированием в федеральном органе исполнительной власти антимонопольного комплаенса должен осуществляться руководителем федерального органа исполнительной власти, который:</w:t>
      </w:r>
    </w:p>
    <w:p w:rsidR="00034348" w:rsidRPr="00C47DD8" w:rsidRDefault="00034348">
      <w:bookmarkStart w:id="33" w:name="sub_1081"/>
      <w:bookmarkEnd w:id="32"/>
      <w:r w:rsidRPr="00C47DD8">
        <w:t>а) вводит в действие акт об антимонопольном комплаенсе,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комплаенса;</w:t>
      </w:r>
    </w:p>
    <w:p w:rsidR="00034348" w:rsidRPr="00C47DD8" w:rsidRDefault="00034348">
      <w:bookmarkStart w:id="34" w:name="sub_1082"/>
      <w:bookmarkEnd w:id="33"/>
      <w:r w:rsidRPr="00C47DD8">
        <w:t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антимонопольном комплаенсе;</w:t>
      </w:r>
    </w:p>
    <w:p w:rsidR="00034348" w:rsidRPr="00C47DD8" w:rsidRDefault="00034348">
      <w:bookmarkStart w:id="35" w:name="sub_1083"/>
      <w:bookmarkEnd w:id="34"/>
      <w:r w:rsidRPr="00C47DD8">
        <w:t>в)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034348" w:rsidRPr="00C47DD8" w:rsidRDefault="00034348">
      <w:bookmarkStart w:id="36" w:name="sub_1084"/>
      <w:bookmarkEnd w:id="35"/>
      <w:r w:rsidRPr="00C47DD8">
        <w:t>г) осуществляет контроль за устранением выявленных недостатков антимонопольного комплаенса.</w:t>
      </w:r>
    </w:p>
    <w:p w:rsidR="00034348" w:rsidRPr="00C47DD8" w:rsidRDefault="00034348">
      <w:bookmarkStart w:id="37" w:name="sub_1009"/>
      <w:bookmarkEnd w:id="36"/>
      <w:r w:rsidRPr="00C47DD8">
        <w:t>9. В целях организации и функционирования антимонопольного комплаенса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034348" w:rsidRPr="00C47DD8" w:rsidRDefault="00034348">
      <w:bookmarkStart w:id="38" w:name="sub_1010"/>
      <w:bookmarkEnd w:id="37"/>
      <w:r w:rsidRPr="00C47DD8"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034348" w:rsidRPr="00C47DD8" w:rsidRDefault="00034348">
      <w:bookmarkStart w:id="39" w:name="sub_1101"/>
      <w:bookmarkEnd w:id="38"/>
      <w:r w:rsidRPr="00C47DD8"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034348" w:rsidRPr="00C47DD8" w:rsidRDefault="00034348">
      <w:bookmarkStart w:id="40" w:name="sub_1102"/>
      <w:bookmarkEnd w:id="39"/>
      <w:r w:rsidRPr="00C47DD8"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034348" w:rsidRPr="00C47DD8" w:rsidRDefault="00034348">
      <w:bookmarkStart w:id="41" w:name="sub_1011"/>
      <w:bookmarkEnd w:id="40"/>
      <w:r w:rsidRPr="00C47DD8">
        <w:t xml:space="preserve">11. К компетенции уполномоченного подразделения (должностного лица) должны </w:t>
      </w:r>
      <w:r w:rsidRPr="00C47DD8">
        <w:lastRenderedPageBreak/>
        <w:t>относиться следующие функции:</w:t>
      </w:r>
    </w:p>
    <w:p w:rsidR="00034348" w:rsidRPr="00C47DD8" w:rsidRDefault="00034348">
      <w:bookmarkStart w:id="42" w:name="sub_1111"/>
      <w:bookmarkEnd w:id="41"/>
      <w:r w:rsidRPr="00C47DD8">
        <w:t>а) подготовка и представление руководителю федерального органа исполнительной власти акта об антимонопольном комплаенсе (внесении изменений в антимонопольный комплаенс), а также внутриведомственных документов федерального органа исполнительной власти, регламентирующих процедуры антимонопольного комплаенса;</w:t>
      </w:r>
    </w:p>
    <w:p w:rsidR="00034348" w:rsidRPr="00C47DD8" w:rsidRDefault="00034348">
      <w:bookmarkStart w:id="43" w:name="sub_1112"/>
      <w:bookmarkEnd w:id="42"/>
      <w:r w:rsidRPr="00C47DD8"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034348" w:rsidRPr="00C47DD8" w:rsidRDefault="00034348">
      <w:bookmarkStart w:id="44" w:name="sub_1113"/>
      <w:bookmarkEnd w:id="43"/>
      <w:r w:rsidRPr="00C47DD8"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034348" w:rsidRPr="00C47DD8" w:rsidRDefault="00034348">
      <w:bookmarkStart w:id="45" w:name="sub_1114"/>
      <w:bookmarkEnd w:id="44"/>
      <w:r w:rsidRPr="00C47DD8">
        <w:t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комплаенсом;</w:t>
      </w:r>
    </w:p>
    <w:p w:rsidR="00034348" w:rsidRPr="00C47DD8" w:rsidRDefault="00034348">
      <w:bookmarkStart w:id="46" w:name="sub_1115"/>
      <w:bookmarkEnd w:id="45"/>
      <w:r w:rsidRPr="00C47DD8">
        <w:t>д) организация взаимодействия с другими структурными подразделениями федерального органа исполнительной власти по вопросам, связанным с антимонопольным комплаенсом;</w:t>
      </w:r>
    </w:p>
    <w:p w:rsidR="00034348" w:rsidRPr="00C47DD8" w:rsidRDefault="00034348">
      <w:bookmarkStart w:id="47" w:name="sub_1116"/>
      <w:bookmarkEnd w:id="46"/>
      <w:r w:rsidRPr="00C47DD8">
        <w:t>е) разработка процедуры внутреннего расследования, связанного с функционированием антимонопольного комплаенса;</w:t>
      </w:r>
    </w:p>
    <w:p w:rsidR="00034348" w:rsidRPr="00C47DD8" w:rsidRDefault="00034348">
      <w:bookmarkStart w:id="48" w:name="sub_1117"/>
      <w:bookmarkEnd w:id="47"/>
      <w:r w:rsidRPr="00C47DD8">
        <w:t>ж) организация внутренних расследований, связанных с функционированием антимонопольного комплаенса, и участие в них;</w:t>
      </w:r>
    </w:p>
    <w:p w:rsidR="00034348" w:rsidRPr="00C47DD8" w:rsidRDefault="00034348">
      <w:bookmarkStart w:id="49" w:name="sub_1118"/>
      <w:bookmarkEnd w:id="48"/>
      <w:r w:rsidRPr="00C47DD8"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034348" w:rsidRPr="00C47DD8" w:rsidRDefault="00034348">
      <w:bookmarkStart w:id="50" w:name="sub_1119"/>
      <w:bookmarkEnd w:id="49"/>
      <w:r w:rsidRPr="00C47DD8"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034348" w:rsidRPr="00C47DD8" w:rsidRDefault="00034348">
      <w:bookmarkStart w:id="51" w:name="sub_11110"/>
      <w:bookmarkEnd w:id="50"/>
      <w:r w:rsidRPr="00C47DD8">
        <w:t>к) иные функции, связанные с функционированием антимонопольного комплаенса.</w:t>
      </w:r>
    </w:p>
    <w:p w:rsidR="00034348" w:rsidRPr="00C47DD8" w:rsidRDefault="00034348">
      <w:bookmarkStart w:id="52" w:name="sub_1012"/>
      <w:bookmarkEnd w:id="51"/>
      <w:r w:rsidRPr="00C47DD8">
        <w:t>12. Оценку эффективности организации и функционирования в федеральном органе исполнительной власти антимонопольного комплаенса осуществляет коллегиальный орган.</w:t>
      </w:r>
    </w:p>
    <w:p w:rsidR="00034348" w:rsidRPr="00C47DD8" w:rsidRDefault="00034348">
      <w:bookmarkStart w:id="53" w:name="sub_1013"/>
      <w:bookmarkEnd w:id="52"/>
      <w:r w:rsidRPr="00C47DD8">
        <w:t>13. К функциям коллегиального органа должны относиться:</w:t>
      </w:r>
    </w:p>
    <w:p w:rsidR="00034348" w:rsidRPr="00C47DD8" w:rsidRDefault="00034348">
      <w:bookmarkStart w:id="54" w:name="sub_1131"/>
      <w:bookmarkEnd w:id="53"/>
      <w:r w:rsidRPr="00C47DD8">
        <w:t>а) рассмотрение и оценка мероприятий федерального органа исполнительной власти в части, касающейся функционирования антимонопольного комплаенса;</w:t>
      </w:r>
    </w:p>
    <w:p w:rsidR="00034348" w:rsidRPr="00C47DD8" w:rsidRDefault="00034348">
      <w:bookmarkStart w:id="55" w:name="sub_1132"/>
      <w:bookmarkEnd w:id="54"/>
      <w:r w:rsidRPr="00C47DD8">
        <w:t>б) рассмотрение и утверждение доклада об антимонопольном комплаенсе.</w:t>
      </w:r>
    </w:p>
    <w:p w:rsidR="00034348" w:rsidRPr="00C47DD8" w:rsidRDefault="00034348">
      <w:bookmarkStart w:id="56" w:name="sub_1014"/>
      <w:bookmarkEnd w:id="55"/>
      <w:r w:rsidRPr="00C47DD8">
        <w:t>14. Функции коллегиального органа могут быть возложены на общественный совет при федеральном органе исполнительной власти.</w:t>
      </w:r>
    </w:p>
    <w:bookmarkEnd w:id="56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57" w:name="sub_11111"/>
      <w:r w:rsidRPr="00C47DD8">
        <w:rPr>
          <w:color w:val="auto"/>
        </w:rPr>
        <w:t>V. Выявление и оценка рисков нарушения антимонопольного законодательства</w:t>
      </w:r>
    </w:p>
    <w:bookmarkEnd w:id="57"/>
    <w:p w:rsidR="00034348" w:rsidRPr="00C47DD8" w:rsidRDefault="00034348"/>
    <w:p w:rsidR="00034348" w:rsidRPr="00C47DD8" w:rsidRDefault="00034348">
      <w:bookmarkStart w:id="58" w:name="sub_1015"/>
      <w:r w:rsidRPr="00C47DD8"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034348" w:rsidRPr="00C47DD8" w:rsidRDefault="00034348">
      <w:bookmarkStart w:id="59" w:name="sub_1151"/>
      <w:bookmarkEnd w:id="58"/>
      <w:r w:rsidRPr="00C47DD8"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</w:p>
    <w:p w:rsidR="00034348" w:rsidRPr="00C47DD8" w:rsidRDefault="00034348">
      <w:bookmarkStart w:id="60" w:name="sub_1152"/>
      <w:bookmarkEnd w:id="59"/>
      <w:r w:rsidRPr="00C47DD8">
        <w:t>б) анализ нормативных правовых актов федерального органа исполнительной власти;</w:t>
      </w:r>
    </w:p>
    <w:p w:rsidR="00034348" w:rsidRPr="00C47DD8" w:rsidRDefault="00034348">
      <w:bookmarkStart w:id="61" w:name="sub_1153"/>
      <w:bookmarkEnd w:id="60"/>
      <w:r w:rsidRPr="00C47DD8">
        <w:lastRenderedPageBreak/>
        <w:t>в) анализ проектов нормативных правовых актов федерального органа исполнительной власти;</w:t>
      </w:r>
    </w:p>
    <w:p w:rsidR="00034348" w:rsidRPr="00C47DD8" w:rsidRDefault="00034348">
      <w:bookmarkStart w:id="62" w:name="sub_1154"/>
      <w:bookmarkEnd w:id="61"/>
      <w:r w:rsidRPr="00C47DD8"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034348" w:rsidRPr="00C47DD8" w:rsidRDefault="00034348">
      <w:bookmarkStart w:id="63" w:name="sub_1155"/>
      <w:bookmarkEnd w:id="62"/>
      <w:r w:rsidRPr="00C47DD8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034348" w:rsidRPr="00C47DD8" w:rsidRDefault="00034348">
      <w:bookmarkStart w:id="64" w:name="sub_1016"/>
      <w:bookmarkEnd w:id="63"/>
      <w:r w:rsidRPr="00C47DD8">
        <w:t>16. 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</w:p>
    <w:p w:rsidR="00034348" w:rsidRPr="00C47DD8" w:rsidRDefault="00034348">
      <w:bookmarkStart w:id="65" w:name="sub_1161"/>
      <w:bookmarkEnd w:id="64"/>
      <w:r w:rsidRPr="00C47DD8"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034348" w:rsidRPr="00C47DD8" w:rsidRDefault="00034348">
      <w:bookmarkStart w:id="66" w:name="sub_1162"/>
      <w:bookmarkEnd w:id="65"/>
      <w:r w:rsidRPr="00C47DD8"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034348" w:rsidRPr="00C47DD8" w:rsidRDefault="00034348">
      <w:bookmarkStart w:id="67" w:name="sub_1017"/>
      <w:bookmarkEnd w:id="66"/>
      <w:r w:rsidRPr="00C47DD8">
        <w:t>17. При проведении (не реже одного раза в год) уполномоченным подразделением (должностным лицом) анализа нормативных правовых актов федерального органа исполнительной власти должны реализовываться следующие мероприятия:</w:t>
      </w:r>
    </w:p>
    <w:p w:rsidR="00034348" w:rsidRPr="00C47DD8" w:rsidRDefault="00034348">
      <w:bookmarkStart w:id="68" w:name="sub_1171"/>
      <w:bookmarkEnd w:id="67"/>
      <w:r w:rsidRPr="00C47DD8"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034348" w:rsidRPr="00C47DD8" w:rsidRDefault="00034348">
      <w:bookmarkStart w:id="69" w:name="sub_1172"/>
      <w:bookmarkEnd w:id="68"/>
      <w:r w:rsidRPr="00C47DD8"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034348" w:rsidRPr="00C47DD8" w:rsidRDefault="00034348">
      <w:bookmarkStart w:id="70" w:name="sub_1173"/>
      <w:bookmarkEnd w:id="69"/>
      <w:r w:rsidRPr="00C47DD8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034348" w:rsidRPr="00C47DD8" w:rsidRDefault="00034348">
      <w:bookmarkStart w:id="71" w:name="sub_1174"/>
      <w:bookmarkEnd w:id="70"/>
      <w:r w:rsidRPr="00C47DD8"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034348" w:rsidRPr="00C47DD8" w:rsidRDefault="00034348">
      <w:bookmarkStart w:id="72" w:name="sub_1018"/>
      <w:bookmarkEnd w:id="71"/>
      <w:r w:rsidRPr="00C47DD8"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034348" w:rsidRPr="00C47DD8" w:rsidRDefault="00034348">
      <w:bookmarkStart w:id="73" w:name="sub_1181"/>
      <w:bookmarkEnd w:id="72"/>
      <w:r w:rsidRPr="00C47DD8"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034348" w:rsidRPr="00C47DD8" w:rsidRDefault="00034348">
      <w:bookmarkStart w:id="74" w:name="sub_1182"/>
      <w:bookmarkEnd w:id="73"/>
      <w:r w:rsidRPr="00C47DD8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034348" w:rsidRPr="00C47DD8" w:rsidRDefault="00034348">
      <w:bookmarkStart w:id="75" w:name="sub_1019"/>
      <w:bookmarkEnd w:id="74"/>
      <w:r w:rsidRPr="00C47DD8">
        <w:t xml:space="preserve">19. При проведении мониторинга и анализа практики применения </w:t>
      </w:r>
      <w:r w:rsidRPr="00C47DD8">
        <w:lastRenderedPageBreak/>
        <w:t>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034348" w:rsidRPr="00C47DD8" w:rsidRDefault="00034348">
      <w:bookmarkStart w:id="76" w:name="sub_1191"/>
      <w:bookmarkEnd w:id="75"/>
      <w:r w:rsidRPr="00C47DD8"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034348" w:rsidRPr="00C47DD8" w:rsidRDefault="00034348">
      <w:bookmarkStart w:id="77" w:name="sub_1192"/>
      <w:bookmarkEnd w:id="76"/>
      <w:r w:rsidRPr="00C47DD8">
        <w:t>б) подготовка по итогам сбора информации, предусмотренной подпунктом "а"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034348" w:rsidRPr="00C47DD8" w:rsidRDefault="00034348">
      <w:bookmarkStart w:id="78" w:name="sub_1193"/>
      <w:bookmarkEnd w:id="77"/>
      <w:r w:rsidRPr="00C47DD8"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034348" w:rsidRPr="00C47DD8" w:rsidRDefault="00034348">
      <w:bookmarkStart w:id="79" w:name="sub_1020"/>
      <w:bookmarkEnd w:id="78"/>
      <w:r w:rsidRPr="00C47DD8"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034348" w:rsidRPr="00C47DD8" w:rsidRDefault="00034348">
      <w:bookmarkStart w:id="80" w:name="sub_1201"/>
      <w:bookmarkEnd w:id="79"/>
      <w:r w:rsidRPr="00C47DD8"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034348" w:rsidRPr="00C47DD8" w:rsidRDefault="00034348">
      <w:bookmarkStart w:id="81" w:name="sub_1202"/>
      <w:bookmarkEnd w:id="80"/>
      <w:r w:rsidRPr="00C47DD8"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034348" w:rsidRPr="00C47DD8" w:rsidRDefault="00034348">
      <w:bookmarkStart w:id="82" w:name="sub_1203"/>
      <w:bookmarkEnd w:id="81"/>
      <w:r w:rsidRPr="00C47DD8">
        <w:t>в) возбуждение дела о нарушении антимонопольного законодательства;</w:t>
      </w:r>
    </w:p>
    <w:p w:rsidR="00034348" w:rsidRPr="00C47DD8" w:rsidRDefault="00034348">
      <w:bookmarkStart w:id="83" w:name="sub_1204"/>
      <w:bookmarkEnd w:id="82"/>
      <w:r w:rsidRPr="00C47DD8"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034348" w:rsidRPr="00C47DD8" w:rsidRDefault="00034348">
      <w:bookmarkStart w:id="84" w:name="sub_1021"/>
      <w:bookmarkEnd w:id="83"/>
      <w:r w:rsidRPr="00C47DD8"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sub_11000" w:history="1">
        <w:r w:rsidRPr="00C47DD8">
          <w:rPr>
            <w:rStyle w:val="a4"/>
            <w:rFonts w:cs="Arial"/>
            <w:color w:val="auto"/>
          </w:rPr>
          <w:t>приложению</w:t>
        </w:r>
      </w:hyperlink>
      <w:r w:rsidRPr="00C47DD8">
        <w:t>.</w:t>
      </w:r>
    </w:p>
    <w:p w:rsidR="00034348" w:rsidRPr="00C47DD8" w:rsidRDefault="00034348">
      <w:bookmarkStart w:id="85" w:name="sub_1022"/>
      <w:bookmarkEnd w:id="84"/>
      <w:r w:rsidRPr="00C47DD8"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034348" w:rsidRPr="00C47DD8" w:rsidRDefault="00034348">
      <w:bookmarkStart w:id="86" w:name="sub_1023"/>
      <w:bookmarkEnd w:id="85"/>
      <w:r w:rsidRPr="00C47DD8"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034348" w:rsidRPr="00C47DD8" w:rsidRDefault="00034348">
      <w:bookmarkStart w:id="87" w:name="sub_1024"/>
      <w:bookmarkEnd w:id="86"/>
      <w:r w:rsidRPr="00C47DD8">
        <w:t>24. Информация о проведении выявления и оценки рисков нарушения антимонопольного законодательства включается в доклад об антимонопольном комплаенсе.</w:t>
      </w:r>
    </w:p>
    <w:bookmarkEnd w:id="87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88" w:name="sub_11112"/>
      <w:r w:rsidRPr="00C47DD8">
        <w:rPr>
          <w:color w:val="auto"/>
        </w:rPr>
        <w:t>VI. Мероприятия по снижению рисков нарушения антимонопольного законодательства</w:t>
      </w:r>
    </w:p>
    <w:bookmarkEnd w:id="88"/>
    <w:p w:rsidR="00034348" w:rsidRPr="00C47DD8" w:rsidRDefault="00034348"/>
    <w:p w:rsidR="00034348" w:rsidRPr="00C47DD8" w:rsidRDefault="00034348">
      <w:bookmarkStart w:id="89" w:name="sub_1025"/>
      <w:r w:rsidRPr="00C47DD8"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034348" w:rsidRPr="00C47DD8" w:rsidRDefault="00034348">
      <w:bookmarkStart w:id="90" w:name="sub_1026"/>
      <w:bookmarkEnd w:id="89"/>
      <w:r w:rsidRPr="00C47DD8"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034348" w:rsidRPr="00C47DD8" w:rsidRDefault="00034348">
      <w:bookmarkStart w:id="91" w:name="sub_1027"/>
      <w:bookmarkEnd w:id="90"/>
      <w:r w:rsidRPr="00C47DD8">
        <w:t>27. Информация об исполнении мероприятий по снижению рисков нарушения антимонопольного законодательства должна включаться в доклад об антимонопольном комплаенсе.</w:t>
      </w:r>
    </w:p>
    <w:bookmarkEnd w:id="91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92" w:name="sub_11113"/>
      <w:r w:rsidRPr="00C47DD8">
        <w:rPr>
          <w:color w:val="auto"/>
        </w:rPr>
        <w:t>VII. Оценка эффективности функционирования в федеральном органе исполнительной власти антимонопольного комплаенса</w:t>
      </w:r>
    </w:p>
    <w:bookmarkEnd w:id="92"/>
    <w:p w:rsidR="00034348" w:rsidRPr="00C47DD8" w:rsidRDefault="00034348"/>
    <w:p w:rsidR="00034348" w:rsidRPr="00C47DD8" w:rsidRDefault="00034348">
      <w:bookmarkStart w:id="93" w:name="sub_1028"/>
      <w:r w:rsidRPr="00C47DD8">
        <w:t>28. В целях оценки эффективности функционирования в федеральном органе исполнительной власти антимонопольного комплаенса должны устанавливаться ключевые показатели как для уполномоченного подразделения (должностного лица), так и для федерального органа исполнительной власти в целом.</w:t>
      </w:r>
    </w:p>
    <w:p w:rsidR="00034348" w:rsidRPr="00C47DD8" w:rsidRDefault="00034348">
      <w:bookmarkStart w:id="94" w:name="sub_1029"/>
      <w:bookmarkEnd w:id="93"/>
      <w:r w:rsidRPr="00C47DD8">
        <w:t xml:space="preserve">29. </w:t>
      </w:r>
      <w:hyperlink r:id="rId10" w:history="1">
        <w:r w:rsidRPr="00C47DD8">
          <w:rPr>
            <w:rStyle w:val="a4"/>
            <w:rFonts w:cs="Arial"/>
            <w:color w:val="auto"/>
          </w:rPr>
          <w:t>Методика</w:t>
        </w:r>
      </w:hyperlink>
      <w:r w:rsidRPr="00C47DD8">
        <w:t xml:space="preserve"> расчета ключевых показателей эффективности функционирования в федеральном органе исполнительной власти антимонопольного комплаенса должна разрабатываться федеральным антимонопольным органом.</w:t>
      </w:r>
    </w:p>
    <w:p w:rsidR="00034348" w:rsidRPr="00C47DD8" w:rsidRDefault="00034348">
      <w:bookmarkStart w:id="95" w:name="sub_1030"/>
      <w:bookmarkEnd w:id="94"/>
      <w:r w:rsidRPr="00C47DD8">
        <w:t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комплаенса в федеральном органе исполнительной власти.</w:t>
      </w:r>
    </w:p>
    <w:p w:rsidR="00034348" w:rsidRPr="00C47DD8" w:rsidRDefault="00034348">
      <w:bookmarkStart w:id="96" w:name="sub_1031"/>
      <w:bookmarkEnd w:id="95"/>
      <w:r w:rsidRPr="00C47DD8">
        <w:t>31. Информация о достижении ключевых показателей эффективности функционирования в федеральном органе исполнительной власти антимонопольного комплаенса должна включаться в доклад об антимонопольном комплаенсе.</w:t>
      </w:r>
    </w:p>
    <w:bookmarkEnd w:id="96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bookmarkStart w:id="97" w:name="sub_11114"/>
      <w:r w:rsidRPr="00C47DD8">
        <w:rPr>
          <w:color w:val="auto"/>
        </w:rPr>
        <w:t>VIII. Доклад об антимонопольном комплаенсе</w:t>
      </w:r>
    </w:p>
    <w:bookmarkEnd w:id="97"/>
    <w:p w:rsidR="00034348" w:rsidRPr="00C47DD8" w:rsidRDefault="00034348"/>
    <w:p w:rsidR="00034348" w:rsidRPr="00C47DD8" w:rsidRDefault="00034348">
      <w:bookmarkStart w:id="98" w:name="sub_1032"/>
      <w:r w:rsidRPr="00C47DD8">
        <w:t>32. Доклад об антимонопольном комплаенсе должен содержать информацию:</w:t>
      </w:r>
    </w:p>
    <w:p w:rsidR="00034348" w:rsidRPr="00C47DD8" w:rsidRDefault="00034348">
      <w:bookmarkStart w:id="99" w:name="sub_1321"/>
      <w:bookmarkEnd w:id="98"/>
      <w:r w:rsidRPr="00C47DD8">
        <w:t>а) о результатах проведенной оценки рисков нарушения федеральным органом исполнительной власти антимонопольного законодательства;</w:t>
      </w:r>
    </w:p>
    <w:p w:rsidR="00034348" w:rsidRPr="00C47DD8" w:rsidRDefault="00034348">
      <w:bookmarkStart w:id="100" w:name="sub_1322"/>
      <w:bookmarkEnd w:id="99"/>
      <w:r w:rsidRPr="00C47DD8"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034348" w:rsidRPr="00C47DD8" w:rsidRDefault="00034348">
      <w:bookmarkStart w:id="101" w:name="sub_1323"/>
      <w:bookmarkEnd w:id="100"/>
      <w:r w:rsidRPr="00C47DD8">
        <w:t>в) о достижении ключевых показателей эффективности антимонопольного комплаенса.</w:t>
      </w:r>
    </w:p>
    <w:p w:rsidR="00034348" w:rsidRPr="00C47DD8" w:rsidRDefault="00034348">
      <w:bookmarkStart w:id="102" w:name="sub_1033"/>
      <w:bookmarkEnd w:id="101"/>
      <w:r w:rsidRPr="00C47DD8">
        <w:t>33. Доклад об антимонопольном комплаенсе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034348" w:rsidRPr="00C47DD8" w:rsidRDefault="00034348">
      <w:bookmarkStart w:id="103" w:name="sub_1034"/>
      <w:bookmarkEnd w:id="102"/>
      <w:r w:rsidRPr="00C47DD8">
        <w:t>34. Доклад об антимонопольном комплаенсе, утвержденный коллегиальным органом, должен размещаться на официальном сайте.</w:t>
      </w:r>
    </w:p>
    <w:p w:rsidR="00034348" w:rsidRPr="00C47DD8" w:rsidRDefault="00034348">
      <w:bookmarkStart w:id="104" w:name="sub_1035"/>
      <w:bookmarkEnd w:id="103"/>
      <w:r w:rsidRPr="00C47DD8">
        <w:t xml:space="preserve">35. Доклад об антимонопольном комплаенсе,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комплаенса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1" w:history="1">
        <w:r w:rsidRPr="00C47DD8">
          <w:rPr>
            <w:rStyle w:val="a4"/>
            <w:rFonts w:cs="Arial"/>
            <w:color w:val="auto"/>
          </w:rPr>
          <w:t>пунктом 10 части 2 статьи 23</w:t>
        </w:r>
      </w:hyperlink>
      <w:r w:rsidRPr="00C47DD8">
        <w:t xml:space="preserve"> Федерального закона "О защите конкуренции".</w:t>
      </w:r>
    </w:p>
    <w:bookmarkEnd w:id="104"/>
    <w:p w:rsidR="00034348" w:rsidRPr="00C47DD8" w:rsidRDefault="00034348"/>
    <w:p w:rsidR="00034348" w:rsidRPr="00C47DD8" w:rsidRDefault="00034348">
      <w:pPr>
        <w:ind w:firstLine="0"/>
        <w:jc w:val="right"/>
      </w:pPr>
      <w:bookmarkStart w:id="105" w:name="sub_11000"/>
      <w:r w:rsidRPr="00C47DD8">
        <w:rPr>
          <w:rStyle w:val="a3"/>
          <w:bCs/>
          <w:color w:val="auto"/>
        </w:rPr>
        <w:t>Приложение</w:t>
      </w:r>
      <w:r w:rsidRPr="00C47DD8">
        <w:rPr>
          <w:rStyle w:val="a3"/>
          <w:bCs/>
          <w:color w:val="auto"/>
        </w:rPr>
        <w:br/>
        <w:t xml:space="preserve">к </w:t>
      </w:r>
      <w:hyperlink w:anchor="sub_1000" w:history="1">
        <w:r w:rsidRPr="00C47DD8">
          <w:rPr>
            <w:rStyle w:val="a4"/>
            <w:rFonts w:cs="Arial"/>
            <w:color w:val="auto"/>
          </w:rPr>
          <w:t>методическим рекомендациям</w:t>
        </w:r>
      </w:hyperlink>
      <w:r w:rsidRPr="00C47DD8">
        <w:rPr>
          <w:rStyle w:val="a3"/>
          <w:bCs/>
          <w:color w:val="auto"/>
        </w:rPr>
        <w:br/>
        <w:t>по созданию и организации</w:t>
      </w:r>
      <w:r w:rsidRPr="00C47DD8">
        <w:rPr>
          <w:rStyle w:val="a3"/>
          <w:bCs/>
          <w:color w:val="auto"/>
        </w:rPr>
        <w:br/>
        <w:t>федеральными органами</w:t>
      </w:r>
      <w:r w:rsidRPr="00C47DD8">
        <w:rPr>
          <w:rStyle w:val="a3"/>
          <w:bCs/>
          <w:color w:val="auto"/>
        </w:rPr>
        <w:br/>
        <w:t>исполнительной власти системы</w:t>
      </w:r>
      <w:r w:rsidRPr="00C47DD8">
        <w:rPr>
          <w:rStyle w:val="a3"/>
          <w:bCs/>
          <w:color w:val="auto"/>
        </w:rPr>
        <w:br/>
        <w:t>внутреннего обеспечения</w:t>
      </w:r>
      <w:r w:rsidRPr="00C47DD8">
        <w:rPr>
          <w:rStyle w:val="a3"/>
          <w:bCs/>
          <w:color w:val="auto"/>
        </w:rPr>
        <w:br/>
        <w:t>соответствия требованиям</w:t>
      </w:r>
      <w:r w:rsidRPr="00C47DD8">
        <w:rPr>
          <w:rStyle w:val="a3"/>
          <w:bCs/>
          <w:color w:val="auto"/>
        </w:rPr>
        <w:br/>
        <w:t>антимонопольного законодательства</w:t>
      </w:r>
    </w:p>
    <w:bookmarkEnd w:id="105"/>
    <w:p w:rsidR="00034348" w:rsidRPr="00C47DD8" w:rsidRDefault="00034348"/>
    <w:p w:rsidR="00034348" w:rsidRPr="00C47DD8" w:rsidRDefault="00034348">
      <w:pPr>
        <w:pStyle w:val="1"/>
        <w:rPr>
          <w:color w:val="auto"/>
        </w:rPr>
      </w:pPr>
      <w:r w:rsidRPr="00C47DD8">
        <w:rPr>
          <w:color w:val="auto"/>
        </w:rPr>
        <w:t>Уровни рисков</w:t>
      </w:r>
      <w:r w:rsidRPr="00C47DD8">
        <w:rPr>
          <w:color w:val="auto"/>
        </w:rPr>
        <w:br/>
        <w:t>нарушения антимонопольного законодательства</w:t>
      </w:r>
    </w:p>
    <w:p w:rsidR="00034348" w:rsidRPr="00C47DD8" w:rsidRDefault="0003434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761"/>
        <w:gridCol w:w="7398"/>
      </w:tblGrid>
      <w:tr w:rsidR="00C47DD8" w:rsidRPr="00C47DD8"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4348" w:rsidRPr="00C47DD8" w:rsidRDefault="00034348">
            <w:pPr>
              <w:pStyle w:val="a7"/>
              <w:jc w:val="center"/>
            </w:pPr>
            <w:r w:rsidRPr="00C47DD8">
              <w:t>Уровень риска</w:t>
            </w: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4348" w:rsidRPr="00C47DD8" w:rsidRDefault="00034348">
            <w:pPr>
              <w:pStyle w:val="a7"/>
              <w:jc w:val="center"/>
            </w:pPr>
            <w:r w:rsidRPr="00C47DD8">
              <w:t>Описание риска</w:t>
            </w:r>
          </w:p>
        </w:tc>
      </w:tr>
      <w:tr w:rsidR="00C47DD8" w:rsidRPr="00C47DD8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Низкий уровень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C47DD8" w:rsidRPr="00C47DD8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Незначительный уровень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вероятность выдачи федеральному органу исполнительной власти предупреждения</w:t>
            </w:r>
          </w:p>
        </w:tc>
      </w:tr>
      <w:tr w:rsidR="00C47DD8" w:rsidRPr="00C47DD8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Существенный уровень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C47DD8" w:rsidRPr="00C47DD8"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Высокий уровень</w:t>
            </w:r>
          </w:p>
        </w:tc>
        <w:tc>
          <w:tcPr>
            <w:tcW w:w="7398" w:type="dxa"/>
            <w:tcBorders>
              <w:top w:val="nil"/>
              <w:left w:val="nil"/>
              <w:bottom w:val="nil"/>
              <w:right w:val="nil"/>
            </w:tcBorders>
          </w:tcPr>
          <w:p w:rsidR="00034348" w:rsidRPr="00C47DD8" w:rsidRDefault="00034348">
            <w:pPr>
              <w:pStyle w:val="a8"/>
            </w:pPr>
            <w:r w:rsidRPr="00C47DD8">
              <w:t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дисквалификация)</w:t>
            </w:r>
          </w:p>
        </w:tc>
      </w:tr>
    </w:tbl>
    <w:p w:rsidR="00034348" w:rsidRPr="00C47DD8" w:rsidRDefault="00034348"/>
    <w:sectPr w:rsidR="00034348" w:rsidRPr="00C47DD8" w:rsidSect="00F80D3E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F0314F"/>
    <w:rsid w:val="00034348"/>
    <w:rsid w:val="00564D42"/>
    <w:rsid w:val="00667620"/>
    <w:rsid w:val="00C47DD8"/>
    <w:rsid w:val="00F0314F"/>
    <w:rsid w:val="00F80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0D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80D3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0D3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F80D3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F80D3E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rsid w:val="00F80D3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F80D3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Нормальный (таблица)"/>
    <w:basedOn w:val="a"/>
    <w:next w:val="a"/>
    <w:uiPriority w:val="99"/>
    <w:rsid w:val="00F80D3E"/>
    <w:pPr>
      <w:ind w:firstLine="0"/>
    </w:pPr>
  </w:style>
  <w:style w:type="paragraph" w:customStyle="1" w:styleId="a8">
    <w:name w:val="Прижатый влево"/>
    <w:basedOn w:val="a"/>
    <w:next w:val="a"/>
    <w:uiPriority w:val="99"/>
    <w:rsid w:val="00F80D3E"/>
    <w:pPr>
      <w:ind w:firstLine="0"/>
      <w:jc w:val="left"/>
    </w:pPr>
  </w:style>
  <w:style w:type="paragraph" w:customStyle="1" w:styleId="a9">
    <w:name w:val="Ссылка на официальную публикацию"/>
    <w:basedOn w:val="a"/>
    <w:next w:val="a"/>
    <w:uiPriority w:val="99"/>
    <w:rsid w:val="00F80D3E"/>
  </w:style>
  <w:style w:type="character" w:customStyle="1" w:styleId="aa">
    <w:name w:val="Цветовое выделение для Текст"/>
    <w:uiPriority w:val="99"/>
    <w:rsid w:val="00F80D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0003000.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739482.0" TargetMode="External"/><Relationship Id="rId11" Type="http://schemas.openxmlformats.org/officeDocument/2006/relationships/hyperlink" Target="garantF1://12048517.2302010" TargetMode="External"/><Relationship Id="rId5" Type="http://schemas.openxmlformats.org/officeDocument/2006/relationships/hyperlink" Target="garantF1://71739482.1000" TargetMode="External"/><Relationship Id="rId10" Type="http://schemas.openxmlformats.org/officeDocument/2006/relationships/hyperlink" Target="garantF1://72068186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8517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3132</Words>
  <Characters>17856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root</cp:lastModifiedBy>
  <cp:revision>2</cp:revision>
  <dcterms:created xsi:type="dcterms:W3CDTF">2020-12-25T07:21:00Z</dcterms:created>
  <dcterms:modified xsi:type="dcterms:W3CDTF">2020-12-25T07:21:00Z</dcterms:modified>
</cp:coreProperties>
</file>